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6A" w:rsidRDefault="00FC286A" w:rsidP="00FC286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FC286A" w:rsidRDefault="00FC286A" w:rsidP="00FC28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схода граждан</w:t>
      </w:r>
    </w:p>
    <w:p w:rsidR="00FC286A" w:rsidRDefault="00FC286A" w:rsidP="00FC286A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Староалпаровскому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поселению </w:t>
      </w:r>
    </w:p>
    <w:p w:rsidR="00FC286A" w:rsidRDefault="00FC286A" w:rsidP="00FC286A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FC286A" w:rsidRDefault="00FC286A" w:rsidP="00FC28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286A" w:rsidRDefault="00FC286A" w:rsidP="00FC286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12 октября 2022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FC286A" w:rsidRDefault="00FC286A" w:rsidP="00FC286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атарстан, утвержденного решением от 11.11.2019г. №19,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итоговым протоколом схода граждан  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тарое Алпарово,д.Новое Алпарово,д.Татарское Муллино Староалпаровского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 от 12.10.2022г. № 1   </w:t>
      </w:r>
      <w:r>
        <w:rPr>
          <w:rFonts w:ascii="Times New Roman" w:hAnsi="Times New Roman" w:cs="Times New Roman"/>
          <w:sz w:val="28"/>
          <w:szCs w:val="28"/>
        </w:rPr>
        <w:t xml:space="preserve">схода 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C286A" w:rsidRDefault="00FC286A" w:rsidP="00FC286A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1.Признать схода граждан в населенных пунктах с.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Старое Алпарово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Алпарово,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д.Татарское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Муллино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входящего в состав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Староалпаровского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Алькеевского муниципального района Республики Татарстан состоявшимся, а результаты схода –действительными.</w:t>
      </w:r>
    </w:p>
    <w:p w:rsidR="00FC286A" w:rsidRDefault="00FC286A" w:rsidP="00FC286A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2.Признать решение по вопросу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«Согласны ли Вы на введение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самообложения в 2023 году в сумме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700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Староалпаровского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Алькеевского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>
        <w:rPr>
          <w:rFonts w:ascii="Times New Roman" w:eastAsia="Calibri" w:hAnsi="Times New Roman" w:cs="Times New Roman"/>
          <w:sz w:val="28"/>
          <w:szCs w:val="28"/>
        </w:rPr>
        <w:t>инвалидов 1 группы, участников ВОВ, вдов участников ВОВ,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пожилых граждан более 90 лет,  многодетных семей, имеющих 5 и более детей, студентов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обучающихся по очной форме обучения,</w:t>
      </w:r>
      <w:r w:rsidRPr="00FC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69C">
        <w:rPr>
          <w:rFonts w:ascii="Times New Roman" w:eastAsia="Calibri" w:hAnsi="Times New Roman" w:cs="Times New Roman"/>
          <w:sz w:val="28"/>
          <w:szCs w:val="28"/>
        </w:rPr>
        <w:t>лиц мобилизованных участвующих на   спец. военной операции и членов его семьи</w:t>
      </w:r>
      <w:r w:rsidR="007F369C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="007F3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и направить полученные средства на решение вопросов местного значения по выполнению следующих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C286A" w:rsidRDefault="00FC286A" w:rsidP="00FC286A">
      <w:pPr>
        <w:spacing w:after="16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1.Ввести  средства самообложения в 2023 году в сумме 700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 студентов, обучающихся по очной форме обучения,</w:t>
      </w:r>
      <w:r w:rsidRPr="00FC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 мобилизованных на выполнение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пераций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.    </w:t>
      </w:r>
      <w:r w:rsidRPr="00061FE6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полученные средства на решение вопросов местного значения по выполнению следующих работ: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строительство, реконструкцию и ремонт уличной системы водоснабжения,   выполнение проектно-сметных работ, оплата экспертизы,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270рублей;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МТЗ-82, оплата заработной платы трактористу и закупка ГСМ - 260 рублей;                                                     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благоустройство контейнерных площадок для мусора, закупка ограждений для контейнерных площадок, закупка материалов для ограждений контейнерных площадок, приобретение контейнеров, окучивание и ликвидация несанкционированных свалок ТБО  - 70 рублей.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строительство, приобретение необходимых  инвентарей,  проектирование, оплата других расходов при проектировании, закупка материалов для ограждения, благоустройство и озеленении детской, спортивной площадки – 30 рублей.</w:t>
      </w:r>
    </w:p>
    <w:p w:rsidR="00FC286A" w:rsidRDefault="00FC286A" w:rsidP="00FC286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принятым.</w:t>
      </w:r>
      <w:proofErr w:type="gramEnd"/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86A" w:rsidRDefault="00FC286A" w:rsidP="00FC286A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Ввести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самообложения в 2023 году в сумме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>700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Староалпаровского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 поселения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Алькеевского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>
        <w:rPr>
          <w:rFonts w:ascii="Times New Roman" w:eastAsia="Calibri" w:hAnsi="Times New Roman" w:cs="Times New Roman"/>
          <w:sz w:val="28"/>
          <w:szCs w:val="28"/>
        </w:rPr>
        <w:t>инвалидов 1 группы, участников ВОВ, вдов участников ВОВ,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пожилых граждан более 90 лет,  многодетных семей, имеющих 5 и более детей, студентов, обучающихся по очной форме обучения, лиц мобилизованных на выполнение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пераций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членов их семей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  и направить полученные средства на решение вопросов местного значения по выполнению следующих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C286A" w:rsidRDefault="00FC286A" w:rsidP="00FC286A">
      <w:pPr>
        <w:spacing w:after="16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Ввести  средства самообложения в 2023 году в сумме 700 рублей в год с каждого совершеннолетнего жителя муниципального образования, за исключением инвалидов 1 группы, участников ВОВ, вдов участников ВОВ, пожилых граждан более 90 лет,  многодетных семей, имеющих 5 и более детей,  студентов, обучающихся по очной форме обучения,</w:t>
      </w:r>
      <w:r w:rsidRPr="00FC2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мобилизованных на выполнение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пераций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членов их семей.</w:t>
      </w:r>
      <w:r w:rsidRPr="00FC286A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полученные средства на решение вопросов местного значения по выполнению следующих работ: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приобретение необходимого материала на установку уличного освещения, электромонтажные работы и оплата  расходов за потребляемую энергию уличного освещения – 70 рублей;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строительство, реконструкцию и ремонт уличной системы водоснабжения,   выполнение проектно-сметных работ, оплата экспертизы, оплата расходов при лицензировании водозаборных скважин,  ремонт, покраска, ограждение водонапорной башни, 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полугаек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установка гидрантов, содержание водозаборной скважины, оплата  за анализ воды, оплата за потребляемую электроэнергию водонапорной башни – 270рублей;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благоустройство, строительство, содержание и ремонт внутри поселковых дорог и тротуаров, приобретение необходимых материалов для ремонта дорог и тротуаров, оплата расходов при проектировании дорог и тротуаров, очистка улиц от снега в зимний период, содержание трактора МТЗ-82, оплата заработной платы трактористу и закупка ГСМ - 260 рублей;                                                     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благоустройство контейнерных площадок для мусора, закупка ограждений для контейнерных площадок, закупка материалов для ограждений контейнерных площадок, приобретение контейнеров, окучивание и ликвидация несанкционированных свалок ТБО  - 70 рублей.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строительство, приобретение необходимых  инвентарей,  проектирование, оплата других расходов при проектировании, закупка материалов для ограждения, благоустройство и озеленении детской, спортивной площадки – 30 рублей. 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4.Обнародовать результаты схода граждан путем размещения на информационных стендах Староалпаровского сельского поселения, на  сайте Алькеевского муниципального района Республики Татарстан и на официальном портале правовой информации Республики Татарстан </w:t>
      </w:r>
      <w:hyperlink r:id="rId5" w:history="1">
        <w:r>
          <w:rPr>
            <w:rStyle w:val="a3"/>
            <w:rFonts w:cs="Calibri"/>
            <w:szCs w:val="28"/>
          </w:rPr>
          <w:t>http://pravo.tatarstan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FC286A" w:rsidRDefault="00FC286A" w:rsidP="00FC286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86A" w:rsidRDefault="00FC286A" w:rsidP="00FC286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FC286A" w:rsidRDefault="00FC286A" w:rsidP="00FC286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Староалпаровского сельского поселения </w:t>
      </w:r>
    </w:p>
    <w:p w:rsidR="00FC286A" w:rsidRDefault="00FC286A" w:rsidP="00FC286A">
      <w:r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Р.Р.Салахов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FC286A" w:rsidRDefault="00FC286A" w:rsidP="00FC286A"/>
    <w:p w:rsidR="00ED6947" w:rsidRDefault="00ED6947"/>
    <w:sectPr w:rsidR="00ED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E9"/>
    <w:rsid w:val="007F369C"/>
    <w:rsid w:val="008240E9"/>
    <w:rsid w:val="00A22707"/>
    <w:rsid w:val="00ED6947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2023-02-07T12:01:00Z</cp:lastPrinted>
  <dcterms:created xsi:type="dcterms:W3CDTF">2023-01-16T10:50:00Z</dcterms:created>
  <dcterms:modified xsi:type="dcterms:W3CDTF">2023-02-07T12:01:00Z</dcterms:modified>
</cp:coreProperties>
</file>